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0C" w:rsidRPr="007A3D0C" w:rsidRDefault="007A3D0C" w:rsidP="007A3D0C">
      <w:pPr>
        <w:shd w:val="clear" w:color="auto" w:fill="FFFFFF"/>
        <w:spacing w:before="150" w:after="100" w:afterAutospacing="1" w:line="260" w:lineRule="atLeast"/>
        <w:jc w:val="right"/>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Утвержден приказом Минэкономразвития России</w:t>
      </w:r>
      <w:r w:rsidRPr="007A3D0C">
        <w:rPr>
          <w:rFonts w:ascii="Arial" w:eastAsia="Times New Roman" w:hAnsi="Arial" w:cs="Arial"/>
          <w:color w:val="000000"/>
          <w:sz w:val="20"/>
          <w:szCs w:val="20"/>
          <w:lang w:eastAsia="ru-RU"/>
        </w:rPr>
        <w:br/>
        <w:t>от 22 июня 2015 г. N 385</w:t>
      </w:r>
    </w:p>
    <w:p w:rsidR="007A3D0C" w:rsidRPr="007A3D0C" w:rsidRDefault="007A3D0C" w:rsidP="007A3D0C">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7A3D0C">
        <w:rPr>
          <w:rFonts w:ascii="Arial" w:eastAsia="Times New Roman" w:hAnsi="Arial" w:cs="Arial"/>
          <w:b/>
          <w:bCs/>
          <w:color w:val="000000"/>
          <w:sz w:val="27"/>
          <w:szCs w:val="27"/>
          <w:lang w:eastAsia="ru-RU"/>
        </w:rPr>
        <w:t>ФЕДЕРАЛЬНЫЙ СТАНДАРТ</w:t>
      </w:r>
      <w:r w:rsidRPr="007A3D0C">
        <w:rPr>
          <w:rFonts w:ascii="Arial" w:eastAsia="Times New Roman" w:hAnsi="Arial" w:cs="Arial"/>
          <w:b/>
          <w:bCs/>
          <w:color w:val="000000"/>
          <w:sz w:val="27"/>
          <w:szCs w:val="27"/>
          <w:lang w:eastAsia="ru-RU"/>
        </w:rPr>
        <w:br/>
        <w:t>ОЦЕНКИ "ОЦЕНКА НЕМАТЕРИАЛЬНЫХ АКТИВОВ И ИНТЕЛЛЕКТУАЛЬНОЙ</w:t>
      </w:r>
      <w:r w:rsidRPr="007A3D0C">
        <w:rPr>
          <w:rFonts w:ascii="Arial" w:eastAsia="Times New Roman" w:hAnsi="Arial" w:cs="Arial"/>
          <w:b/>
          <w:bCs/>
          <w:color w:val="000000"/>
          <w:sz w:val="27"/>
          <w:szCs w:val="27"/>
          <w:lang w:eastAsia="ru-RU"/>
        </w:rPr>
        <w:br/>
        <w:t>СОБСТВЕННОСТИ (ФСО N 11)"</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I. Общие положения</w:t>
      </w:r>
      <w:bookmarkStart w:id="0" w:name="_GoBack"/>
      <w:bookmarkEnd w:id="0"/>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1. </w:t>
      </w:r>
      <w:proofErr w:type="gramStart"/>
      <w:r w:rsidRPr="007A3D0C">
        <w:rPr>
          <w:rFonts w:ascii="Arial" w:eastAsia="Times New Roman" w:hAnsi="Arial" w:cs="Arial"/>
          <w:color w:val="000000"/>
          <w:sz w:val="20"/>
          <w:szCs w:val="20"/>
          <w:lang w:eastAsia="ru-RU"/>
        </w:rPr>
        <w:t>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6" w:history="1">
        <w:r w:rsidRPr="007A3D0C">
          <w:rPr>
            <w:rFonts w:ascii="Arial" w:eastAsia="Times New Roman" w:hAnsi="Arial" w:cs="Arial"/>
            <w:color w:val="0000FF"/>
            <w:sz w:val="20"/>
            <w:szCs w:val="20"/>
            <w:u w:val="single"/>
            <w:lang w:eastAsia="ru-RU"/>
          </w:rPr>
          <w:t>ФСО N 1</w:t>
        </w:r>
      </w:hyperlink>
      <w:r w:rsidRPr="007A3D0C">
        <w:rPr>
          <w:rFonts w:ascii="Arial" w:eastAsia="Times New Roman" w:hAnsi="Arial" w:cs="Arial"/>
          <w:color w:val="000000"/>
          <w:sz w:val="20"/>
          <w:szCs w:val="20"/>
          <w:lang w:eastAsia="ru-RU"/>
        </w:rPr>
        <w:t>) ", "Цель оценки и виды стоимости (ФСО N 2) ", "Требования к отчету об оценке (ФСО N 3) " (далее соответственно - ФСО N 1, ФСО N 2, ФСО N 3), иных федеральных стандартов оценки, регулирующих оценку отдельных</w:t>
      </w:r>
      <w:proofErr w:type="gramEnd"/>
      <w:r w:rsidRPr="007A3D0C">
        <w:rPr>
          <w:rFonts w:ascii="Arial" w:eastAsia="Times New Roman" w:hAnsi="Arial" w:cs="Arial"/>
          <w:color w:val="000000"/>
          <w:sz w:val="20"/>
          <w:szCs w:val="20"/>
          <w:lang w:eastAsia="ru-RU"/>
        </w:rPr>
        <w:t xml:space="preserve">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2. Положения настоящего Федерального стандарта оценки распространяются на проведение </w:t>
      </w:r>
      <w:proofErr w:type="gramStart"/>
      <w:r w:rsidRPr="007A3D0C">
        <w:rPr>
          <w:rFonts w:ascii="Arial" w:eastAsia="Times New Roman" w:hAnsi="Arial" w:cs="Arial"/>
          <w:color w:val="000000"/>
          <w:sz w:val="20"/>
          <w:szCs w:val="20"/>
          <w:lang w:eastAsia="ru-RU"/>
        </w:rPr>
        <w:t>оценки</w:t>
      </w:r>
      <w:proofErr w:type="gramEnd"/>
      <w:r w:rsidRPr="007A3D0C">
        <w:rPr>
          <w:rFonts w:ascii="Arial" w:eastAsia="Times New Roman" w:hAnsi="Arial" w:cs="Arial"/>
          <w:color w:val="000000"/>
          <w:sz w:val="20"/>
          <w:szCs w:val="20"/>
          <w:lang w:eastAsia="ru-RU"/>
        </w:rPr>
        <w:t xml:space="preserve"> как отдельных нематериальных активов, так и совокупности нематериальных активов.</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II. Объекты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4. Для целей настоящего Федерального стандарта оценки 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rsidR="007A3D0C" w:rsidRPr="007A3D0C" w:rsidRDefault="007A3D0C" w:rsidP="007A3D0C">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w:t>
      </w:r>
      <w:proofErr w:type="gramStart"/>
      <w:r w:rsidRPr="007A3D0C">
        <w:rPr>
          <w:rFonts w:ascii="Arial" w:eastAsia="Times New Roman" w:hAnsi="Arial" w:cs="Arial"/>
          <w:color w:val="000000"/>
          <w:sz w:val="20"/>
          <w:szCs w:val="20"/>
          <w:lang w:eastAsia="ru-RU"/>
        </w:rPr>
        <w:t>областях</w:t>
      </w:r>
      <w:proofErr w:type="gramEnd"/>
      <w:r w:rsidRPr="007A3D0C">
        <w:rPr>
          <w:rFonts w:ascii="Arial" w:eastAsia="Times New Roman" w:hAnsi="Arial" w:cs="Arial"/>
          <w:color w:val="000000"/>
          <w:sz w:val="20"/>
          <w:szCs w:val="20"/>
          <w:lang w:eastAsia="ru-RU"/>
        </w:rPr>
        <w:t>;</w:t>
      </w:r>
    </w:p>
    <w:p w:rsidR="007A3D0C" w:rsidRPr="007A3D0C" w:rsidRDefault="007A3D0C" w:rsidP="007A3D0C">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права, составляющие содержание договорных обязательств (договоров, соглашений);</w:t>
      </w:r>
    </w:p>
    <w:p w:rsidR="007A3D0C" w:rsidRPr="007A3D0C" w:rsidRDefault="007A3D0C" w:rsidP="007A3D0C">
      <w:pPr>
        <w:numPr>
          <w:ilvl w:val="0"/>
          <w:numId w:val="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деловая репутация.</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III. Общие требования к проведению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5. Для проведения оценки стоимости объекта оценки оценщик осуществляет:</w:t>
      </w:r>
    </w:p>
    <w:p w:rsidR="007A3D0C" w:rsidRPr="007A3D0C" w:rsidRDefault="007A3D0C" w:rsidP="007A3D0C">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proofErr w:type="gramStart"/>
      <w:r w:rsidRPr="007A3D0C">
        <w:rPr>
          <w:rFonts w:ascii="Arial" w:eastAsia="Times New Roman" w:hAnsi="Arial" w:cs="Arial"/>
          <w:color w:val="000000"/>
          <w:sz w:val="20"/>
          <w:szCs w:val="20"/>
          <w:lang w:eastAsia="ru-RU"/>
        </w:rP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roofErr w:type="gramEnd"/>
    </w:p>
    <w:p w:rsidR="007A3D0C" w:rsidRPr="007A3D0C" w:rsidRDefault="007A3D0C" w:rsidP="007A3D0C">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p w:rsidR="007A3D0C" w:rsidRPr="007A3D0C" w:rsidRDefault="007A3D0C" w:rsidP="007A3D0C">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идентификацию объекта оценки, включая права, привилегии, иные экономические выгоды, связанные с объектом оценки;</w:t>
      </w:r>
    </w:p>
    <w:p w:rsidR="007A3D0C" w:rsidRPr="007A3D0C" w:rsidRDefault="007A3D0C" w:rsidP="007A3D0C">
      <w:pPr>
        <w:numPr>
          <w:ilvl w:val="0"/>
          <w:numId w:val="2"/>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анализ текущего использования, прогнозных показателей производства и реализации продукции (товаров, работ, услуг) с использованием объекта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lastRenderedPageBreak/>
        <w:t>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p w:rsidR="007A3D0C" w:rsidRPr="007A3D0C" w:rsidRDefault="007A3D0C" w:rsidP="007A3D0C">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права, привилегии или иные экономические выгоды, связанные с объектом оценки;</w:t>
      </w:r>
    </w:p>
    <w:p w:rsidR="007A3D0C" w:rsidRPr="007A3D0C" w:rsidRDefault="007A3D0C" w:rsidP="007A3D0C">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срок действия исключительного права на интеллектуальную собственность;</w:t>
      </w:r>
    </w:p>
    <w:p w:rsidR="007A3D0C" w:rsidRPr="007A3D0C" w:rsidRDefault="007A3D0C" w:rsidP="007A3D0C">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способность объекта оценки приносить экономические выгоды и источники этих выгод;</w:t>
      </w:r>
    </w:p>
    <w:p w:rsidR="007A3D0C" w:rsidRPr="007A3D0C" w:rsidRDefault="007A3D0C" w:rsidP="007A3D0C">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состояние и перспективы отрасли, где создан и (или) используется объект оценки;</w:t>
      </w:r>
    </w:p>
    <w:p w:rsidR="007A3D0C" w:rsidRPr="007A3D0C" w:rsidRDefault="007A3D0C" w:rsidP="007A3D0C">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лицензионные договоры или договоры об отчуждении исключительного права на интеллектуальную собственность (при их наличии);</w:t>
      </w:r>
    </w:p>
    <w:p w:rsidR="007A3D0C" w:rsidRPr="007A3D0C" w:rsidRDefault="007A3D0C" w:rsidP="007A3D0C">
      <w:pPr>
        <w:numPr>
          <w:ilvl w:val="0"/>
          <w:numId w:val="3"/>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другие факторы, имеющие непосредственное отношение к объекту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IV. Задание на оценку</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8. Задание на оценку объекта оценки должно содержать следующую дополнительную </w:t>
      </w:r>
      <w:proofErr w:type="gramStart"/>
      <w:r w:rsidRPr="007A3D0C">
        <w:rPr>
          <w:rFonts w:ascii="Arial" w:eastAsia="Times New Roman" w:hAnsi="Arial" w:cs="Arial"/>
          <w:color w:val="000000"/>
          <w:sz w:val="20"/>
          <w:szCs w:val="20"/>
          <w:lang w:eastAsia="ru-RU"/>
        </w:rPr>
        <w:t>к</w:t>
      </w:r>
      <w:proofErr w:type="gramEnd"/>
      <w:r w:rsidRPr="007A3D0C">
        <w:rPr>
          <w:rFonts w:ascii="Arial" w:eastAsia="Times New Roman" w:hAnsi="Arial" w:cs="Arial"/>
          <w:color w:val="000000"/>
          <w:sz w:val="20"/>
          <w:szCs w:val="20"/>
          <w:lang w:eastAsia="ru-RU"/>
        </w:rPr>
        <w:t xml:space="preserve"> указанной в ФСО N 1 информацию:</w:t>
      </w:r>
    </w:p>
    <w:p w:rsidR="007A3D0C" w:rsidRPr="007A3D0C" w:rsidRDefault="007A3D0C" w:rsidP="007A3D0C">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7A3D0C" w:rsidRPr="007A3D0C" w:rsidRDefault="007A3D0C" w:rsidP="007A3D0C">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об объеме прав на интеллектуальную собственность, подлежащих оценке;</w:t>
      </w:r>
    </w:p>
    <w:p w:rsidR="007A3D0C" w:rsidRPr="007A3D0C" w:rsidRDefault="007A3D0C" w:rsidP="007A3D0C">
      <w:pPr>
        <w:numPr>
          <w:ilvl w:val="0"/>
          <w:numId w:val="4"/>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 совокупности объектов (или единой технологии, или сопутствующих активах), в состав которой входит объект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9. В задании на оценку могут быть указаны иные расчетные величины, в том числе:</w:t>
      </w:r>
    </w:p>
    <w:p w:rsidR="007A3D0C" w:rsidRPr="007A3D0C" w:rsidRDefault="007A3D0C" w:rsidP="007A3D0C">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расчетная величина лицензионного вознаграждения (далее - роялти);</w:t>
      </w:r>
    </w:p>
    <w:p w:rsidR="007A3D0C" w:rsidRPr="007A3D0C" w:rsidRDefault="007A3D0C" w:rsidP="007A3D0C">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убытки;</w:t>
      </w:r>
    </w:p>
    <w:p w:rsidR="007A3D0C" w:rsidRPr="007A3D0C" w:rsidRDefault="007A3D0C" w:rsidP="007A3D0C">
      <w:pPr>
        <w:numPr>
          <w:ilvl w:val="0"/>
          <w:numId w:val="5"/>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расчетная величина авторского вознаграждения.</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V. Анализ рынка</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Анализ рынка объекта оценки выполняется в следующей последовательности: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 анализ влияния макроэкономических факторов, в том числе тенденций, наметившихся на рынке, в период, предшествующий дате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б) определение и анализ сегмента рынка, к которому принадлежит оцениваемый объект:</w:t>
      </w:r>
    </w:p>
    <w:p w:rsidR="007A3D0C" w:rsidRPr="007A3D0C" w:rsidRDefault="007A3D0C" w:rsidP="007A3D0C">
      <w:pPr>
        <w:numPr>
          <w:ilvl w:val="0"/>
          <w:numId w:val="6"/>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анализ создания и предоставления правовой охраны аналогичным объектам интеллектуальной собственности;</w:t>
      </w:r>
    </w:p>
    <w:p w:rsidR="007A3D0C" w:rsidRPr="007A3D0C" w:rsidRDefault="007A3D0C" w:rsidP="007A3D0C">
      <w:pPr>
        <w:numPr>
          <w:ilvl w:val="0"/>
          <w:numId w:val="6"/>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анализ текущего состояния, перспектив и тенденций развития отрасли, к которой относится объект оценки;</w:t>
      </w:r>
    </w:p>
    <w:p w:rsidR="007A3D0C" w:rsidRPr="007A3D0C" w:rsidRDefault="007A3D0C" w:rsidP="007A3D0C">
      <w:pPr>
        <w:numPr>
          <w:ilvl w:val="0"/>
          <w:numId w:val="6"/>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lastRenderedPageBreak/>
        <w:t>анализ сделок (лицензионных договоров и договоров об отчуждении исключительного права) с объектом оценки либо объектом-аналогом (при наличии);</w:t>
      </w:r>
    </w:p>
    <w:p w:rsidR="007A3D0C" w:rsidRPr="007A3D0C" w:rsidRDefault="007A3D0C" w:rsidP="007A3D0C">
      <w:pPr>
        <w:numPr>
          <w:ilvl w:val="0"/>
          <w:numId w:val="6"/>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анализ сделок, связанных с объединением бизнеса, имеющего идентичные или аналогичные нематериальные активы (при наличии);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в) анализ основных факторов, влияющих на спрос, предложение и цены сопоставимых с объектом оценки объектов. </w:t>
      </w:r>
      <w:proofErr w:type="gramStart"/>
      <w:r w:rsidRPr="007A3D0C">
        <w:rPr>
          <w:rFonts w:ascii="Arial" w:eastAsia="Times New Roman" w:hAnsi="Arial" w:cs="Arial"/>
          <w:color w:val="000000"/>
          <w:sz w:val="20"/>
          <w:szCs w:val="20"/>
          <w:lang w:eastAsia="ru-RU"/>
        </w:rPr>
        <w:t>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roofErr w:type="gramEnd"/>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11. Объем исследований определяется оценщиком самостоятельно.</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VI. Подходы к оценке</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13. При применении доходного подхода оценщик учитывает следующие положения:</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w:t>
      </w:r>
      <w:proofErr w:type="gramStart"/>
      <w:r w:rsidRPr="007A3D0C">
        <w:rPr>
          <w:rFonts w:ascii="Arial" w:eastAsia="Times New Roman" w:hAnsi="Arial" w:cs="Arial"/>
          <w:color w:val="000000"/>
          <w:sz w:val="20"/>
          <w:szCs w:val="20"/>
          <w:lang w:eastAsia="ru-RU"/>
        </w:rPr>
        <w:t>ств в пр</w:t>
      </w:r>
      <w:proofErr w:type="gramEnd"/>
      <w:r w:rsidRPr="007A3D0C">
        <w:rPr>
          <w:rFonts w:ascii="Arial" w:eastAsia="Times New Roman" w:hAnsi="Arial" w:cs="Arial"/>
          <w:color w:val="000000"/>
          <w:sz w:val="20"/>
          <w:szCs w:val="20"/>
          <w:lang w:eastAsia="ru-RU"/>
        </w:rPr>
        <w:t>ибыли, реальных лицензионных платежей, платежей по роялти, избыточного дохода или других выгод;</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в) ставка дисконтирования рассчитывается одним из следующих методов:</w:t>
      </w:r>
    </w:p>
    <w:p w:rsidR="007A3D0C" w:rsidRPr="007A3D0C" w:rsidRDefault="007A3D0C" w:rsidP="007A3D0C">
      <w:pPr>
        <w:numPr>
          <w:ilvl w:val="0"/>
          <w:numId w:val="7"/>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на основе анализа рыночных показателей, отражающих доходность аналогичных объекту оценки объектов;</w:t>
      </w:r>
    </w:p>
    <w:p w:rsidR="007A3D0C" w:rsidRPr="007A3D0C" w:rsidRDefault="007A3D0C" w:rsidP="007A3D0C">
      <w:pPr>
        <w:numPr>
          <w:ilvl w:val="0"/>
          <w:numId w:val="7"/>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на основе средневзвешенной стоимости капитала организации (бизнеса), использующей объект оценки;</w:t>
      </w:r>
    </w:p>
    <w:p w:rsidR="007A3D0C" w:rsidRPr="007A3D0C" w:rsidRDefault="007A3D0C" w:rsidP="007A3D0C">
      <w:pPr>
        <w:numPr>
          <w:ilvl w:val="0"/>
          <w:numId w:val="7"/>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кумулятивным способом, основанным на определении </w:t>
      </w:r>
      <w:proofErr w:type="spellStart"/>
      <w:r w:rsidRPr="007A3D0C">
        <w:rPr>
          <w:rFonts w:ascii="Arial" w:eastAsia="Times New Roman" w:hAnsi="Arial" w:cs="Arial"/>
          <w:color w:val="000000"/>
          <w:sz w:val="20"/>
          <w:szCs w:val="20"/>
          <w:lang w:eastAsia="ru-RU"/>
        </w:rPr>
        <w:t>безрисковой</w:t>
      </w:r>
      <w:proofErr w:type="spellEnd"/>
      <w:r w:rsidRPr="007A3D0C">
        <w:rPr>
          <w:rFonts w:ascii="Arial" w:eastAsia="Times New Roman" w:hAnsi="Arial" w:cs="Arial"/>
          <w:color w:val="000000"/>
          <w:sz w:val="20"/>
          <w:szCs w:val="20"/>
          <w:lang w:eastAsia="ru-RU"/>
        </w:rPr>
        <w:t xml:space="preserve">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w:t>
      </w:r>
      <w:proofErr w:type="spellStart"/>
      <w:r w:rsidRPr="007A3D0C">
        <w:rPr>
          <w:rFonts w:ascii="Arial" w:eastAsia="Times New Roman" w:hAnsi="Arial" w:cs="Arial"/>
          <w:color w:val="000000"/>
          <w:sz w:val="20"/>
          <w:szCs w:val="20"/>
          <w:lang w:eastAsia="ru-RU"/>
        </w:rPr>
        <w:t>постпрогнозном</w:t>
      </w:r>
      <w:proofErr w:type="spellEnd"/>
      <w:r w:rsidRPr="007A3D0C">
        <w:rPr>
          <w:rFonts w:ascii="Arial" w:eastAsia="Times New Roman" w:hAnsi="Arial" w:cs="Arial"/>
          <w:color w:val="000000"/>
          <w:sz w:val="20"/>
          <w:szCs w:val="20"/>
          <w:lang w:eastAsia="ru-RU"/>
        </w:rPr>
        <w:t xml:space="preserve"> периоде;</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lastRenderedPageBreak/>
        <w:t xml:space="preserve">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w:t>
      </w:r>
      <w:proofErr w:type="gramStart"/>
      <w:r w:rsidRPr="007A3D0C">
        <w:rPr>
          <w:rFonts w:ascii="Arial" w:eastAsia="Times New Roman" w:hAnsi="Arial" w:cs="Arial"/>
          <w:color w:val="000000"/>
          <w:sz w:val="20"/>
          <w:szCs w:val="20"/>
          <w:lang w:eastAsia="ru-RU"/>
        </w:rPr>
        <w:t>потоки</w:t>
      </w:r>
      <w:proofErr w:type="gramEnd"/>
      <w:r w:rsidRPr="007A3D0C">
        <w:rPr>
          <w:rFonts w:ascii="Arial" w:eastAsia="Times New Roman" w:hAnsi="Arial" w:cs="Arial"/>
          <w:color w:val="000000"/>
          <w:sz w:val="20"/>
          <w:szCs w:val="20"/>
          <w:lang w:eastAsia="ru-RU"/>
        </w:rPr>
        <w:t xml:space="preserve"> соответствующие корректировки.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14. Стоимость </w:t>
      </w:r>
      <w:proofErr w:type="spellStart"/>
      <w:r w:rsidRPr="007A3D0C">
        <w:rPr>
          <w:rFonts w:ascii="Arial" w:eastAsia="Times New Roman" w:hAnsi="Arial" w:cs="Arial"/>
          <w:color w:val="000000"/>
          <w:sz w:val="20"/>
          <w:szCs w:val="20"/>
          <w:lang w:eastAsia="ru-RU"/>
        </w:rPr>
        <w:t>бизнесобразующих</w:t>
      </w:r>
      <w:proofErr w:type="spellEnd"/>
      <w:r w:rsidRPr="007A3D0C">
        <w:rPr>
          <w:rFonts w:ascii="Arial" w:eastAsia="Times New Roman" w:hAnsi="Arial" w:cs="Arial"/>
          <w:color w:val="000000"/>
          <w:sz w:val="20"/>
          <w:szCs w:val="20"/>
          <w:lang w:eastAsia="ru-RU"/>
        </w:rPr>
        <w:t xml:space="preserve">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15. При применении затратного подхода оценщик учитывает следующие положения:</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а) затратный подход к оценке объекта оценки целесообразно применять:</w:t>
      </w:r>
    </w:p>
    <w:p w:rsidR="007A3D0C" w:rsidRPr="007A3D0C" w:rsidRDefault="007A3D0C" w:rsidP="007A3D0C">
      <w:pPr>
        <w:numPr>
          <w:ilvl w:val="0"/>
          <w:numId w:val="8"/>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при оценке стоимости объектов оценки, созданных самими правообладателями;</w:t>
      </w:r>
    </w:p>
    <w:p w:rsidR="007A3D0C" w:rsidRPr="007A3D0C" w:rsidRDefault="007A3D0C" w:rsidP="007A3D0C">
      <w:pPr>
        <w:numPr>
          <w:ilvl w:val="0"/>
          <w:numId w:val="8"/>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при недостаточности данных, необходимых для применения сравнительного и доходного подходов;</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в) входные переменные, которые учитываются при применении затратного подхода к оценке нематериальных активов, включают:</w:t>
      </w:r>
    </w:p>
    <w:p w:rsidR="007A3D0C" w:rsidRPr="007A3D0C" w:rsidRDefault="007A3D0C" w:rsidP="007A3D0C">
      <w:pPr>
        <w:numPr>
          <w:ilvl w:val="0"/>
          <w:numId w:val="9"/>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затраты на разработку или приобретение идентичного объекта или объекта с аналогичными полезными свойствами;</w:t>
      </w:r>
    </w:p>
    <w:p w:rsidR="007A3D0C" w:rsidRPr="007A3D0C" w:rsidRDefault="007A3D0C" w:rsidP="007A3D0C">
      <w:pPr>
        <w:numPr>
          <w:ilvl w:val="0"/>
          <w:numId w:val="9"/>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rsidRPr="007A3D0C">
        <w:rPr>
          <w:rFonts w:ascii="Arial" w:eastAsia="Times New Roman" w:hAnsi="Arial" w:cs="Arial"/>
          <w:color w:val="000000"/>
          <w:sz w:val="20"/>
          <w:szCs w:val="20"/>
          <w:lang w:eastAsia="ru-RU"/>
        </w:rPr>
        <w:t>устареваний</w:t>
      </w:r>
      <w:proofErr w:type="spellEnd"/>
      <w:r w:rsidRPr="007A3D0C">
        <w:rPr>
          <w:rFonts w:ascii="Arial" w:eastAsia="Times New Roman" w:hAnsi="Arial" w:cs="Arial"/>
          <w:color w:val="000000"/>
          <w:sz w:val="20"/>
          <w:szCs w:val="20"/>
          <w:lang w:eastAsia="ru-RU"/>
        </w:rPr>
        <w:t>;</w:t>
      </w:r>
    </w:p>
    <w:p w:rsidR="007A3D0C" w:rsidRPr="007A3D0C" w:rsidRDefault="007A3D0C" w:rsidP="007A3D0C">
      <w:pPr>
        <w:numPr>
          <w:ilvl w:val="0"/>
          <w:numId w:val="9"/>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экономическая выгода разработчика объекта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е) при определении затрат на воспроизводство объекта оценки оценщик определяет стоимость воссоздания новой точной копии объекта оценки. </w:t>
      </w:r>
      <w:proofErr w:type="gramStart"/>
      <w:r w:rsidRPr="007A3D0C">
        <w:rPr>
          <w:rFonts w:ascii="Arial" w:eastAsia="Times New Roman" w:hAnsi="Arial" w:cs="Arial"/>
          <w:color w:val="000000"/>
          <w:sz w:val="20"/>
          <w:szCs w:val="20"/>
          <w:lang w:eastAsia="ru-RU"/>
        </w:rPr>
        <w:t>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roofErr w:type="gramEnd"/>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lastRenderedPageBreak/>
        <w:t>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16. При применении сравнительного подхода к оценке объектов оценки стоимость определяется оценщиком с использованием следующей информации:</w:t>
      </w:r>
    </w:p>
    <w:p w:rsidR="007A3D0C" w:rsidRPr="007A3D0C" w:rsidRDefault="007A3D0C" w:rsidP="007A3D0C">
      <w:pPr>
        <w:numPr>
          <w:ilvl w:val="0"/>
          <w:numId w:val="10"/>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7A3D0C" w:rsidRPr="007A3D0C" w:rsidRDefault="007A3D0C" w:rsidP="007A3D0C">
      <w:pPr>
        <w:numPr>
          <w:ilvl w:val="0"/>
          <w:numId w:val="10"/>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 влиянии ценообразующих факторов объектов-аналогов на их рыночную стоимость.</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В ряде случаев цены предложений объектов-аналогов могут быть обоснованно скорректированы.</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режим предоставленной правовой охраны, включая переданные права и сроки использования интеллектуальной собственности;</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условия финансирования сделок с нематериальными активами, включая соотношение собственных и заемных средств;</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изменение цен </w:t>
      </w:r>
      <w:proofErr w:type="gramStart"/>
      <w:r w:rsidRPr="007A3D0C">
        <w:rPr>
          <w:rFonts w:ascii="Arial" w:eastAsia="Times New Roman" w:hAnsi="Arial" w:cs="Arial"/>
          <w:color w:val="000000"/>
          <w:sz w:val="20"/>
          <w:szCs w:val="20"/>
          <w:lang w:eastAsia="ru-RU"/>
        </w:rPr>
        <w:t>на нематериальные активы за период с даты совершения сделки с объектом-аналогом до даты</w:t>
      </w:r>
      <w:proofErr w:type="gramEnd"/>
      <w:r w:rsidRPr="007A3D0C">
        <w:rPr>
          <w:rFonts w:ascii="Arial" w:eastAsia="Times New Roman" w:hAnsi="Arial" w:cs="Arial"/>
          <w:color w:val="000000"/>
          <w:sz w:val="20"/>
          <w:szCs w:val="20"/>
          <w:lang w:eastAsia="ru-RU"/>
        </w:rPr>
        <w:t xml:space="preserve"> проведения оценки;</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отрасль, в которой были или будут использованы нематериальные активы;</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территория, на которую распространяется действие предоставляемых (оцениваемых) прав;</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спрос на продукцию, которая может производиться или реализовываться с использованием объекта оценки;</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срок использования объекта оценки, в течение которого объект оценки способен приносить экономические выгоды;</w:t>
      </w:r>
    </w:p>
    <w:p w:rsidR="007A3D0C" w:rsidRPr="007A3D0C" w:rsidRDefault="007A3D0C" w:rsidP="007A3D0C">
      <w:pPr>
        <w:numPr>
          <w:ilvl w:val="0"/>
          <w:numId w:val="11"/>
        </w:numPr>
        <w:shd w:val="clear" w:color="auto" w:fill="FFFFFF"/>
        <w:spacing w:before="100" w:beforeAutospacing="1"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другие характеристики нематериального актива, влияющие на стоимость.</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VII. Особенности оценки деловой репутации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 xml:space="preserve">18.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w:t>
      </w:r>
      <w:r w:rsidRPr="007A3D0C">
        <w:rPr>
          <w:rFonts w:ascii="Arial" w:eastAsia="Times New Roman" w:hAnsi="Arial" w:cs="Arial"/>
          <w:color w:val="000000"/>
          <w:sz w:val="20"/>
          <w:szCs w:val="20"/>
          <w:lang w:eastAsia="ru-RU"/>
        </w:rPr>
        <w:lastRenderedPageBreak/>
        <w:t>в том числе денежных, и нематериальных активов, скорректированной с учетом фактических или потенциальных обязательств.</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VIII. Согласование результатов оценки</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19. Согласование результатов оценки объекта оценки, полученных с использованием различных методов и подходов к оценке, осуществляется в соответствии с требованиями ФСО N 1</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b/>
          <w:bCs/>
          <w:color w:val="000000"/>
          <w:sz w:val="20"/>
          <w:szCs w:val="20"/>
          <w:lang w:eastAsia="ru-RU"/>
        </w:rPr>
        <w:t>IX. Заключительные положения</w:t>
      </w:r>
    </w:p>
    <w:p w:rsidR="007A3D0C" w:rsidRPr="007A3D0C" w:rsidRDefault="007A3D0C" w:rsidP="007A3D0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7A3D0C">
        <w:rPr>
          <w:rFonts w:ascii="Arial" w:eastAsia="Times New Roman" w:hAnsi="Arial" w:cs="Arial"/>
          <w:color w:val="000000"/>
          <w:sz w:val="20"/>
          <w:szCs w:val="20"/>
          <w:lang w:eastAsia="ru-RU"/>
        </w:rPr>
        <w:t>20. В случае расхождений между требованиями настоящего Федерального стандарта оценки с требованиями ФСО N 1, </w:t>
      </w:r>
      <w:hyperlink r:id="rId7" w:history="1">
        <w:r w:rsidRPr="007A3D0C">
          <w:rPr>
            <w:rFonts w:ascii="Arial" w:eastAsia="Times New Roman" w:hAnsi="Arial" w:cs="Arial"/>
            <w:color w:val="0000FF"/>
            <w:sz w:val="20"/>
            <w:szCs w:val="20"/>
            <w:u w:val="single"/>
            <w:lang w:eastAsia="ru-RU"/>
          </w:rPr>
          <w:t>ФСО N 2</w:t>
        </w:r>
      </w:hyperlink>
      <w:r w:rsidRPr="007A3D0C">
        <w:rPr>
          <w:rFonts w:ascii="Arial" w:eastAsia="Times New Roman" w:hAnsi="Arial" w:cs="Arial"/>
          <w:color w:val="000000"/>
          <w:sz w:val="20"/>
          <w:szCs w:val="20"/>
          <w:lang w:eastAsia="ru-RU"/>
        </w:rPr>
        <w:t>, </w:t>
      </w:r>
      <w:hyperlink r:id="rId8" w:history="1">
        <w:r w:rsidRPr="007A3D0C">
          <w:rPr>
            <w:rFonts w:ascii="Arial" w:eastAsia="Times New Roman" w:hAnsi="Arial" w:cs="Arial"/>
            <w:color w:val="0000FF"/>
            <w:sz w:val="20"/>
            <w:szCs w:val="20"/>
            <w:u w:val="single"/>
            <w:lang w:eastAsia="ru-RU"/>
          </w:rPr>
          <w:t>ФСО N 3</w:t>
        </w:r>
      </w:hyperlink>
      <w:r w:rsidRPr="007A3D0C">
        <w:rPr>
          <w:rFonts w:ascii="Arial" w:eastAsia="Times New Roman" w:hAnsi="Arial" w:cs="Arial"/>
          <w:color w:val="000000"/>
          <w:sz w:val="20"/>
          <w:szCs w:val="20"/>
          <w:lang w:eastAsia="ru-RU"/>
        </w:rP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D40F51" w:rsidRDefault="00D40F51"/>
    <w:sectPr w:rsidR="00D4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3B0"/>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6945"/>
    <w:multiLevelType w:val="multilevel"/>
    <w:tmpl w:val="B7FCD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9269B"/>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656E3"/>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E5440"/>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56CA4"/>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32B6C"/>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1D2204"/>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E5D20"/>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D4E39"/>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13746"/>
    <w:multiLevelType w:val="multilevel"/>
    <w:tmpl w:val="A09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7"/>
  </w:num>
  <w:num w:numId="5">
    <w:abstractNumId w:val="5"/>
  </w:num>
  <w:num w:numId="6">
    <w:abstractNumId w:val="0"/>
  </w:num>
  <w:num w:numId="7">
    <w:abstractNumId w:val="6"/>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0C"/>
    <w:rsid w:val="000861BA"/>
    <w:rsid w:val="007A3D0C"/>
    <w:rsid w:val="00D40F51"/>
    <w:rsid w:val="00F1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3D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D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D0C"/>
    <w:rPr>
      <w:color w:val="0000FF"/>
      <w:u w:val="single"/>
    </w:rPr>
  </w:style>
  <w:style w:type="character" w:customStyle="1" w:styleId="apple-converted-space">
    <w:name w:val="apple-converted-space"/>
    <w:basedOn w:val="a0"/>
    <w:rsid w:val="007A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3D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3D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3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D0C"/>
    <w:rPr>
      <w:color w:val="0000FF"/>
      <w:u w:val="single"/>
    </w:rPr>
  </w:style>
  <w:style w:type="character" w:customStyle="1" w:styleId="apple-converted-space">
    <w:name w:val="apple-converted-space"/>
    <w:basedOn w:val="a0"/>
    <w:rsid w:val="007A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nchik.ru/docsf/2231-trebovaniya-otchetu-ocenke-fso3.html" TargetMode="External"/><Relationship Id="rId3" Type="http://schemas.microsoft.com/office/2007/relationships/stylesWithEffects" Target="stylesWithEffects.xml"/><Relationship Id="rId7" Type="http://schemas.openxmlformats.org/officeDocument/2006/relationships/hyperlink" Target="http://www.ocenchik.ru/docsf/2230-cel-ocenki-vidy-stoimosti-fso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nchik.ru/docsf/2229-ponyatiya-ocenki-podhody-ocenki-fso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1895</Words>
  <Characters>13892</Characters>
  <Application>Microsoft Office Word</Application>
  <DocSecurity>0</DocSecurity>
  <Lines>308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cp:revision>
  <dcterms:created xsi:type="dcterms:W3CDTF">2016-10-06T13:29:00Z</dcterms:created>
  <dcterms:modified xsi:type="dcterms:W3CDTF">2016-10-06T13:33:00Z</dcterms:modified>
</cp:coreProperties>
</file>